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828"/>
      </w:tblGrid>
      <w:tr w:rsidR="00D109C1" w:rsidTr="008C3473">
        <w:trPr>
          <w:trHeight w:val="11573"/>
        </w:trPr>
        <w:tc>
          <w:tcPr>
            <w:tcW w:w="9828" w:type="dxa"/>
          </w:tcPr>
          <w:tbl>
            <w:tblPr>
              <w:tblpPr w:leftFromText="180" w:rightFromText="180" w:horzAnchor="margin" w:tblpY="281"/>
              <w:tblOverlap w:val="never"/>
              <w:tblW w:w="9911" w:type="dxa"/>
              <w:tblLayout w:type="fixed"/>
              <w:tblLook w:val="0000" w:firstRow="0" w:lastRow="0" w:firstColumn="0" w:lastColumn="0" w:noHBand="0" w:noVBand="0"/>
            </w:tblPr>
            <w:tblGrid>
              <w:gridCol w:w="4915"/>
              <w:gridCol w:w="4996"/>
            </w:tblGrid>
            <w:tr w:rsidR="00BF1C7C" w:rsidRPr="003B42DA" w:rsidTr="004E00BE">
              <w:trPr>
                <w:trHeight w:val="260"/>
              </w:trPr>
              <w:tc>
                <w:tcPr>
                  <w:tcW w:w="4915"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BF1C7C" w:rsidRPr="003B42DA" w:rsidRDefault="00BF1C7C" w:rsidP="00225A89">
                  <w:pPr>
                    <w:autoSpaceDE w:val="0"/>
                    <w:autoSpaceDN w:val="0"/>
                    <w:adjustRightInd w:val="0"/>
                    <w:spacing w:before="120" w:after="0" w:line="240" w:lineRule="auto"/>
                    <w:jc w:val="center"/>
                    <w:rPr>
                      <w:rFonts w:ascii="Arial" w:hAnsi="Arial" w:cs="Arial"/>
                      <w:sz w:val="24"/>
                      <w:szCs w:val="24"/>
                    </w:rPr>
                  </w:pPr>
                  <w:bookmarkStart w:id="0" w:name="_GoBack"/>
                  <w:bookmarkEnd w:id="0"/>
                  <w:r>
                    <w:rPr>
                      <w:rFonts w:ascii="Arial" w:hAnsi="Arial" w:cs="Arial"/>
                      <w:sz w:val="24"/>
                      <w:szCs w:val="24"/>
                    </w:rPr>
                    <w:t>Contract Information</w:t>
                  </w:r>
                </w:p>
              </w:tc>
              <w:tc>
                <w:tcPr>
                  <w:tcW w:w="4996" w:type="dxa"/>
                  <w:vMerge w:val="restart"/>
                  <w:tcBorders>
                    <w:top w:val="single" w:sz="4" w:space="0" w:color="auto"/>
                    <w:left w:val="single" w:sz="4" w:space="0" w:color="auto"/>
                    <w:bottom w:val="single" w:sz="4" w:space="0" w:color="auto"/>
                    <w:right w:val="single" w:sz="4" w:space="0" w:color="auto"/>
                  </w:tcBorders>
                </w:tcPr>
                <w:p w:rsidR="007601EA" w:rsidRPr="00510FBB" w:rsidRDefault="007601EA" w:rsidP="007601EA">
                  <w:pPr>
                    <w:jc w:val="both"/>
                    <w:rPr>
                      <w:b/>
                      <w:sz w:val="20"/>
                      <w:szCs w:val="20"/>
                    </w:rPr>
                  </w:pPr>
                  <w:r w:rsidRPr="00510FBB">
                    <w:rPr>
                      <w:sz w:val="20"/>
                      <w:szCs w:val="20"/>
                    </w:rPr>
                    <w:t>Interpreters and Translators, Inc. (iTi) is a woman &amp; minority owned small business that facilitates multicultural communication through services such as In-Person and Telephonic Interpreting, Video Remote Interpreting (VRI), Document Translations, Multilingual Desktop Publishing and Audio Transcriptions. Our customer centric business model allows us to provide customized language solutions to any organization. As a small business, our personal service and flexibility enables us to assist our clients in providing culturally and linguistically appropriate services</w:t>
                  </w:r>
                  <w:r w:rsidRPr="00510FBB">
                    <w:rPr>
                      <w:b/>
                      <w:sz w:val="20"/>
                      <w:szCs w:val="20"/>
                    </w:rPr>
                    <w:t>.</w:t>
                  </w:r>
                </w:p>
                <w:p w:rsidR="0023562A" w:rsidRPr="00510FBB" w:rsidRDefault="0023562A" w:rsidP="00225A89">
                  <w:pPr>
                    <w:autoSpaceDE w:val="0"/>
                    <w:autoSpaceDN w:val="0"/>
                    <w:adjustRightInd w:val="0"/>
                    <w:spacing w:before="120" w:after="0" w:line="240" w:lineRule="auto"/>
                    <w:rPr>
                      <w:b/>
                      <w:noProof/>
                      <w:szCs w:val="20"/>
                    </w:rPr>
                  </w:pPr>
                  <w:r w:rsidRPr="00510FBB">
                    <w:rPr>
                      <w:b/>
                      <w:noProof/>
                      <w:szCs w:val="20"/>
                    </w:rPr>
                    <w:t>Services Offered:</w:t>
                  </w:r>
                </w:p>
                <w:p w:rsidR="0023562A" w:rsidRDefault="0023562A" w:rsidP="000B2703">
                  <w:pPr>
                    <w:pStyle w:val="NoSpacing"/>
                    <w:numPr>
                      <w:ilvl w:val="0"/>
                      <w:numId w:val="7"/>
                    </w:numPr>
                    <w:rPr>
                      <w:noProof/>
                      <w:sz w:val="20"/>
                      <w:szCs w:val="20"/>
                    </w:rPr>
                  </w:pPr>
                  <w:r w:rsidRPr="00510FBB">
                    <w:rPr>
                      <w:noProof/>
                      <w:sz w:val="20"/>
                      <w:szCs w:val="20"/>
                    </w:rPr>
                    <w:t>Document Translations</w:t>
                  </w:r>
                </w:p>
                <w:p w:rsidR="00E3646E" w:rsidRPr="00510FBB" w:rsidRDefault="00E3646E" w:rsidP="000B2703">
                  <w:pPr>
                    <w:pStyle w:val="NoSpacing"/>
                    <w:numPr>
                      <w:ilvl w:val="0"/>
                      <w:numId w:val="7"/>
                    </w:numPr>
                    <w:rPr>
                      <w:noProof/>
                      <w:sz w:val="20"/>
                      <w:szCs w:val="20"/>
                    </w:rPr>
                  </w:pPr>
                  <w:r>
                    <w:rPr>
                      <w:noProof/>
                      <w:sz w:val="20"/>
                      <w:szCs w:val="20"/>
                    </w:rPr>
                    <w:t xml:space="preserve">Transcription Services </w:t>
                  </w:r>
                </w:p>
                <w:p w:rsidR="0023562A" w:rsidRPr="00510FBB" w:rsidRDefault="0023562A" w:rsidP="000B2703">
                  <w:pPr>
                    <w:pStyle w:val="NoSpacing"/>
                    <w:numPr>
                      <w:ilvl w:val="0"/>
                      <w:numId w:val="7"/>
                    </w:numPr>
                    <w:rPr>
                      <w:noProof/>
                      <w:sz w:val="20"/>
                      <w:szCs w:val="20"/>
                    </w:rPr>
                  </w:pPr>
                  <w:r w:rsidRPr="00510FBB">
                    <w:rPr>
                      <w:noProof/>
                      <w:sz w:val="20"/>
                      <w:szCs w:val="20"/>
                    </w:rPr>
                    <w:t>Telephonic Interpreting</w:t>
                  </w:r>
                </w:p>
                <w:p w:rsidR="0023562A" w:rsidRPr="00510FBB" w:rsidRDefault="0023562A" w:rsidP="000B2703">
                  <w:pPr>
                    <w:pStyle w:val="NoSpacing"/>
                    <w:numPr>
                      <w:ilvl w:val="0"/>
                      <w:numId w:val="7"/>
                    </w:numPr>
                    <w:rPr>
                      <w:noProof/>
                      <w:sz w:val="20"/>
                      <w:szCs w:val="20"/>
                    </w:rPr>
                  </w:pPr>
                  <w:r w:rsidRPr="00510FBB">
                    <w:rPr>
                      <w:noProof/>
                      <w:sz w:val="20"/>
                      <w:szCs w:val="20"/>
                    </w:rPr>
                    <w:t>In-person Interpreting</w:t>
                  </w:r>
                </w:p>
                <w:p w:rsidR="0023562A" w:rsidRPr="00510FBB" w:rsidRDefault="0023562A" w:rsidP="000B2703">
                  <w:pPr>
                    <w:pStyle w:val="NoSpacing"/>
                    <w:numPr>
                      <w:ilvl w:val="0"/>
                      <w:numId w:val="7"/>
                    </w:numPr>
                    <w:rPr>
                      <w:noProof/>
                      <w:sz w:val="20"/>
                      <w:szCs w:val="20"/>
                    </w:rPr>
                  </w:pPr>
                  <w:r w:rsidRPr="00510FBB">
                    <w:rPr>
                      <w:noProof/>
                      <w:sz w:val="20"/>
                      <w:szCs w:val="20"/>
                    </w:rPr>
                    <w:t>Video Remote Interpreting</w:t>
                  </w:r>
                </w:p>
                <w:p w:rsidR="0023562A" w:rsidRPr="00510FBB" w:rsidRDefault="0023562A" w:rsidP="000B2703">
                  <w:pPr>
                    <w:pStyle w:val="NoSpacing"/>
                    <w:numPr>
                      <w:ilvl w:val="0"/>
                      <w:numId w:val="7"/>
                    </w:numPr>
                    <w:rPr>
                      <w:noProof/>
                      <w:sz w:val="20"/>
                      <w:szCs w:val="20"/>
                    </w:rPr>
                  </w:pPr>
                  <w:r w:rsidRPr="00510FBB">
                    <w:rPr>
                      <w:noProof/>
                      <w:sz w:val="20"/>
                      <w:szCs w:val="20"/>
                    </w:rPr>
                    <w:t>Localization Services</w:t>
                  </w:r>
                </w:p>
                <w:p w:rsidR="0023562A" w:rsidRPr="00510FBB" w:rsidRDefault="0023562A" w:rsidP="000B2703">
                  <w:pPr>
                    <w:pStyle w:val="NoSpacing"/>
                    <w:numPr>
                      <w:ilvl w:val="0"/>
                      <w:numId w:val="7"/>
                    </w:numPr>
                    <w:rPr>
                      <w:noProof/>
                      <w:sz w:val="20"/>
                      <w:szCs w:val="20"/>
                    </w:rPr>
                  </w:pPr>
                  <w:r w:rsidRPr="00510FBB">
                    <w:rPr>
                      <w:noProof/>
                      <w:sz w:val="20"/>
                      <w:szCs w:val="20"/>
                    </w:rPr>
                    <w:t>Language Assessments</w:t>
                  </w:r>
                </w:p>
                <w:p w:rsidR="0023562A" w:rsidRPr="00510FBB" w:rsidRDefault="0023562A" w:rsidP="000B2703">
                  <w:pPr>
                    <w:pStyle w:val="NoSpacing"/>
                    <w:numPr>
                      <w:ilvl w:val="0"/>
                      <w:numId w:val="7"/>
                    </w:numPr>
                    <w:rPr>
                      <w:noProof/>
                      <w:sz w:val="20"/>
                      <w:szCs w:val="20"/>
                    </w:rPr>
                  </w:pPr>
                  <w:r w:rsidRPr="00510FBB">
                    <w:rPr>
                      <w:noProof/>
                      <w:sz w:val="20"/>
                      <w:szCs w:val="20"/>
                    </w:rPr>
                    <w:t>American Sign Language</w:t>
                  </w:r>
                </w:p>
                <w:p w:rsidR="00892399" w:rsidRPr="00510FBB" w:rsidRDefault="00892399" w:rsidP="000B2703">
                  <w:pPr>
                    <w:pStyle w:val="NoSpacing"/>
                    <w:numPr>
                      <w:ilvl w:val="0"/>
                      <w:numId w:val="7"/>
                    </w:numPr>
                    <w:rPr>
                      <w:noProof/>
                      <w:sz w:val="20"/>
                      <w:szCs w:val="20"/>
                    </w:rPr>
                  </w:pPr>
                  <w:r w:rsidRPr="00510FBB">
                    <w:rPr>
                      <w:noProof/>
                      <w:sz w:val="20"/>
                      <w:szCs w:val="20"/>
                    </w:rPr>
                    <w:t>Communication Access Real Time Translation (CART)</w:t>
                  </w:r>
                </w:p>
                <w:p w:rsidR="00BF3A13" w:rsidRPr="00510FBB" w:rsidRDefault="007601EA" w:rsidP="007601EA">
                  <w:pPr>
                    <w:pStyle w:val="NoSpacing"/>
                    <w:rPr>
                      <w:noProof/>
                      <w:szCs w:val="20"/>
                    </w:rPr>
                  </w:pPr>
                  <w:r w:rsidRPr="00510FBB">
                    <w:rPr>
                      <w:b/>
                      <w:noProof/>
                      <w:szCs w:val="20"/>
                    </w:rPr>
                    <w:t>Past Performance</w:t>
                  </w:r>
                  <w:r w:rsidR="0023562A" w:rsidRPr="00510FBB">
                    <w:rPr>
                      <w:b/>
                      <w:noProof/>
                      <w:szCs w:val="20"/>
                    </w:rPr>
                    <w:t>:</w:t>
                  </w:r>
                </w:p>
                <w:p w:rsidR="00A86E6E" w:rsidRDefault="00A86E6E" w:rsidP="00A86E6E">
                  <w:pPr>
                    <w:pStyle w:val="NoSpacing"/>
                    <w:numPr>
                      <w:ilvl w:val="0"/>
                      <w:numId w:val="9"/>
                    </w:numPr>
                    <w:rPr>
                      <w:noProof/>
                      <w:sz w:val="20"/>
                      <w:szCs w:val="20"/>
                    </w:rPr>
                  </w:pPr>
                  <w:r>
                    <w:rPr>
                      <w:noProof/>
                      <w:sz w:val="20"/>
                      <w:szCs w:val="20"/>
                    </w:rPr>
                    <w:t xml:space="preserve">Massachusetts Department of Transitional Assitance </w:t>
                  </w:r>
                </w:p>
                <w:p w:rsidR="00A86E6E" w:rsidRDefault="00A86E6E" w:rsidP="00A86E6E">
                  <w:pPr>
                    <w:pStyle w:val="NoSpacing"/>
                    <w:numPr>
                      <w:ilvl w:val="0"/>
                      <w:numId w:val="9"/>
                    </w:numPr>
                    <w:rPr>
                      <w:noProof/>
                      <w:sz w:val="20"/>
                      <w:szCs w:val="20"/>
                    </w:rPr>
                  </w:pPr>
                  <w:r>
                    <w:rPr>
                      <w:noProof/>
                      <w:sz w:val="20"/>
                      <w:szCs w:val="20"/>
                    </w:rPr>
                    <w:t>Boston Public Health Commission</w:t>
                  </w:r>
                </w:p>
                <w:p w:rsidR="00A86E6E" w:rsidRDefault="00A86E6E" w:rsidP="00510FBB">
                  <w:pPr>
                    <w:pStyle w:val="NoSpacing"/>
                    <w:numPr>
                      <w:ilvl w:val="0"/>
                      <w:numId w:val="9"/>
                    </w:numPr>
                    <w:rPr>
                      <w:noProof/>
                      <w:sz w:val="20"/>
                      <w:szCs w:val="20"/>
                    </w:rPr>
                  </w:pPr>
                  <w:r>
                    <w:rPr>
                      <w:noProof/>
                      <w:sz w:val="20"/>
                      <w:szCs w:val="20"/>
                    </w:rPr>
                    <w:t xml:space="preserve">CeltiCare Health Plan of Massachusetts, Inc. </w:t>
                  </w:r>
                </w:p>
                <w:p w:rsidR="00A86E6E" w:rsidRDefault="00A86E6E" w:rsidP="00510FBB">
                  <w:pPr>
                    <w:pStyle w:val="NoSpacing"/>
                    <w:numPr>
                      <w:ilvl w:val="0"/>
                      <w:numId w:val="9"/>
                    </w:numPr>
                    <w:rPr>
                      <w:noProof/>
                      <w:sz w:val="20"/>
                      <w:szCs w:val="20"/>
                    </w:rPr>
                  </w:pPr>
                  <w:r>
                    <w:rPr>
                      <w:noProof/>
                      <w:sz w:val="20"/>
                      <w:szCs w:val="20"/>
                    </w:rPr>
                    <w:t>Departmetn of Children &amp; Families in MA, CT &amp; RI</w:t>
                  </w:r>
                </w:p>
                <w:p w:rsidR="00A86E6E" w:rsidRDefault="00A86E6E" w:rsidP="00510FBB">
                  <w:pPr>
                    <w:pStyle w:val="NoSpacing"/>
                    <w:numPr>
                      <w:ilvl w:val="0"/>
                      <w:numId w:val="9"/>
                    </w:numPr>
                    <w:rPr>
                      <w:noProof/>
                      <w:sz w:val="20"/>
                      <w:szCs w:val="20"/>
                    </w:rPr>
                  </w:pPr>
                  <w:r>
                    <w:rPr>
                      <w:noProof/>
                      <w:sz w:val="20"/>
                      <w:szCs w:val="20"/>
                    </w:rPr>
                    <w:t xml:space="preserve">Massachusetts Executive Office of Public Safety </w:t>
                  </w:r>
                </w:p>
                <w:p w:rsidR="00A86E6E" w:rsidRDefault="00A86E6E" w:rsidP="00510FBB">
                  <w:pPr>
                    <w:pStyle w:val="NoSpacing"/>
                    <w:numPr>
                      <w:ilvl w:val="0"/>
                      <w:numId w:val="9"/>
                    </w:numPr>
                    <w:rPr>
                      <w:noProof/>
                      <w:sz w:val="20"/>
                      <w:szCs w:val="20"/>
                    </w:rPr>
                  </w:pPr>
                  <w:r>
                    <w:rPr>
                      <w:noProof/>
                      <w:sz w:val="20"/>
                      <w:szCs w:val="20"/>
                    </w:rPr>
                    <w:t xml:space="preserve">Massachusetts Commission for the Deaf and Hard of Hearing </w:t>
                  </w:r>
                </w:p>
                <w:p w:rsidR="00510FBB" w:rsidRDefault="00510FBB" w:rsidP="00510FBB">
                  <w:pPr>
                    <w:pStyle w:val="NoSpacing"/>
                    <w:numPr>
                      <w:ilvl w:val="0"/>
                      <w:numId w:val="9"/>
                    </w:numPr>
                    <w:rPr>
                      <w:noProof/>
                      <w:sz w:val="20"/>
                      <w:szCs w:val="20"/>
                    </w:rPr>
                  </w:pPr>
                  <w:r w:rsidRPr="00510FBB">
                    <w:rPr>
                      <w:noProof/>
                      <w:sz w:val="20"/>
                      <w:szCs w:val="20"/>
                    </w:rPr>
                    <w:t>Department of Homeland Security – Customs and Border Protection</w:t>
                  </w:r>
                </w:p>
                <w:p w:rsidR="002E7479" w:rsidRPr="00510FBB" w:rsidRDefault="002E7479" w:rsidP="00510FBB">
                  <w:pPr>
                    <w:pStyle w:val="NoSpacing"/>
                    <w:numPr>
                      <w:ilvl w:val="0"/>
                      <w:numId w:val="9"/>
                    </w:numPr>
                    <w:rPr>
                      <w:noProof/>
                      <w:sz w:val="20"/>
                      <w:szCs w:val="20"/>
                    </w:rPr>
                  </w:pPr>
                  <w:r>
                    <w:rPr>
                      <w:noProof/>
                      <w:sz w:val="20"/>
                      <w:szCs w:val="20"/>
                    </w:rPr>
                    <w:t>National Institute of Health</w:t>
                  </w:r>
                </w:p>
                <w:p w:rsidR="00510FBB" w:rsidRPr="00510FBB" w:rsidRDefault="00E3646E" w:rsidP="00510FBB">
                  <w:pPr>
                    <w:pStyle w:val="NoSpacing"/>
                    <w:numPr>
                      <w:ilvl w:val="0"/>
                      <w:numId w:val="9"/>
                    </w:numPr>
                    <w:rPr>
                      <w:noProof/>
                      <w:sz w:val="20"/>
                      <w:szCs w:val="20"/>
                    </w:rPr>
                  </w:pPr>
                  <w:r>
                    <w:rPr>
                      <w:noProof/>
                      <w:sz w:val="20"/>
                      <w:szCs w:val="20"/>
                    </w:rPr>
                    <w:t xml:space="preserve">Office of the Chief Public Defender-CT </w:t>
                  </w:r>
                </w:p>
                <w:p w:rsidR="00510FBB" w:rsidRPr="00510FBB" w:rsidRDefault="00510FBB" w:rsidP="00510FBB">
                  <w:pPr>
                    <w:pStyle w:val="NoSpacing"/>
                    <w:numPr>
                      <w:ilvl w:val="0"/>
                      <w:numId w:val="9"/>
                    </w:numPr>
                    <w:rPr>
                      <w:noProof/>
                      <w:sz w:val="20"/>
                      <w:szCs w:val="20"/>
                    </w:rPr>
                  </w:pPr>
                  <w:r w:rsidRPr="00510FBB">
                    <w:rPr>
                      <w:noProof/>
                      <w:sz w:val="20"/>
                      <w:szCs w:val="20"/>
                    </w:rPr>
                    <w:t>Social Security Administration</w:t>
                  </w:r>
                  <w:r w:rsidR="002E7479">
                    <w:rPr>
                      <w:noProof/>
                      <w:sz w:val="20"/>
                      <w:szCs w:val="20"/>
                    </w:rPr>
                    <w:t xml:space="preserve"> – CT, MA</w:t>
                  </w:r>
                  <w:r w:rsidR="00511F67">
                    <w:rPr>
                      <w:noProof/>
                      <w:sz w:val="20"/>
                      <w:szCs w:val="20"/>
                    </w:rPr>
                    <w:t>, NH, RI</w:t>
                  </w:r>
                </w:p>
                <w:p w:rsidR="008C3473" w:rsidRPr="00510FBB" w:rsidRDefault="008C3473" w:rsidP="008C3473">
                  <w:pPr>
                    <w:pStyle w:val="NoSpacing"/>
                    <w:numPr>
                      <w:ilvl w:val="0"/>
                      <w:numId w:val="9"/>
                    </w:numPr>
                    <w:rPr>
                      <w:noProof/>
                      <w:sz w:val="20"/>
                      <w:szCs w:val="20"/>
                    </w:rPr>
                  </w:pPr>
                  <w:r>
                    <w:rPr>
                      <w:noProof/>
                      <w:sz w:val="20"/>
                      <w:szCs w:val="20"/>
                    </w:rPr>
                    <w:t>US Department of Commerce</w:t>
                  </w:r>
                </w:p>
                <w:p w:rsidR="008C3473" w:rsidRDefault="008C3473" w:rsidP="008C3473">
                  <w:pPr>
                    <w:pStyle w:val="NoSpacing"/>
                    <w:numPr>
                      <w:ilvl w:val="0"/>
                      <w:numId w:val="9"/>
                    </w:numPr>
                    <w:rPr>
                      <w:noProof/>
                      <w:sz w:val="20"/>
                      <w:szCs w:val="20"/>
                    </w:rPr>
                  </w:pPr>
                  <w:r>
                    <w:rPr>
                      <w:noProof/>
                      <w:sz w:val="20"/>
                      <w:szCs w:val="20"/>
                    </w:rPr>
                    <w:t>CT Bureau of Rehabilitation Services</w:t>
                  </w:r>
                </w:p>
                <w:p w:rsidR="008C3473" w:rsidRDefault="008C3473" w:rsidP="00510FBB">
                  <w:pPr>
                    <w:pStyle w:val="NoSpacing"/>
                    <w:numPr>
                      <w:ilvl w:val="0"/>
                      <w:numId w:val="9"/>
                    </w:numPr>
                    <w:rPr>
                      <w:noProof/>
                      <w:sz w:val="20"/>
                      <w:szCs w:val="20"/>
                    </w:rPr>
                  </w:pPr>
                  <w:r>
                    <w:rPr>
                      <w:noProof/>
                      <w:sz w:val="20"/>
                      <w:szCs w:val="20"/>
                    </w:rPr>
                    <w:t>PA Department of Public Welfare</w:t>
                  </w:r>
                </w:p>
                <w:p w:rsidR="007842A8" w:rsidRDefault="007842A8" w:rsidP="00510FBB">
                  <w:pPr>
                    <w:pStyle w:val="NoSpacing"/>
                    <w:numPr>
                      <w:ilvl w:val="0"/>
                      <w:numId w:val="9"/>
                    </w:numPr>
                    <w:rPr>
                      <w:noProof/>
                      <w:sz w:val="20"/>
                      <w:szCs w:val="20"/>
                    </w:rPr>
                  </w:pPr>
                  <w:r>
                    <w:rPr>
                      <w:noProof/>
                      <w:sz w:val="20"/>
                      <w:szCs w:val="20"/>
                    </w:rPr>
                    <w:t>CT State Colleges and Universities(CSCU)</w:t>
                  </w:r>
                </w:p>
                <w:p w:rsidR="00804152" w:rsidRPr="00804152" w:rsidRDefault="00804152" w:rsidP="00A86E6E">
                  <w:pPr>
                    <w:pStyle w:val="NoSpacing"/>
                    <w:rPr>
                      <w:b/>
                      <w:noProof/>
                      <w:sz w:val="20"/>
                      <w:szCs w:val="20"/>
                    </w:rPr>
                  </w:pPr>
                </w:p>
              </w:tc>
            </w:tr>
            <w:tr w:rsidR="00BF1C7C" w:rsidRPr="003B42DA" w:rsidTr="004E00BE">
              <w:trPr>
                <w:trHeight w:val="4397"/>
              </w:trPr>
              <w:tc>
                <w:tcPr>
                  <w:tcW w:w="4915" w:type="dxa"/>
                  <w:tcBorders>
                    <w:top w:val="single" w:sz="4" w:space="0" w:color="auto"/>
                    <w:left w:val="single" w:sz="4" w:space="0" w:color="auto"/>
                    <w:bottom w:val="single" w:sz="4" w:space="0" w:color="auto"/>
                    <w:right w:val="single" w:sz="4" w:space="0" w:color="auto"/>
                  </w:tcBorders>
                </w:tcPr>
                <w:p w:rsidR="00756C3F" w:rsidRPr="007601EA" w:rsidRDefault="00756C3F" w:rsidP="007601EA">
                  <w:pPr>
                    <w:pStyle w:val="Style20"/>
                    <w:widowControl/>
                    <w:spacing w:before="106" w:line="240" w:lineRule="auto"/>
                    <w:rPr>
                      <w:rStyle w:val="FontStyle52"/>
                      <w:rFonts w:asciiTheme="minorHAnsi" w:hAnsiTheme="minorHAnsi" w:cs="Times New Roman"/>
                      <w:b/>
                      <w:sz w:val="24"/>
                      <w:szCs w:val="24"/>
                    </w:rPr>
                  </w:pPr>
                  <w:r w:rsidRPr="007601EA">
                    <w:rPr>
                      <w:rStyle w:val="FontStyle52"/>
                      <w:rFonts w:asciiTheme="minorHAnsi" w:hAnsiTheme="minorHAnsi" w:cs="Times New Roman"/>
                      <w:b/>
                      <w:sz w:val="24"/>
                      <w:szCs w:val="24"/>
                    </w:rPr>
                    <w:t>Woman and Minority-owned Small Business</w:t>
                  </w:r>
                </w:p>
                <w:p w:rsidR="00804152" w:rsidRDefault="00804152" w:rsidP="007601EA">
                  <w:pPr>
                    <w:pStyle w:val="NoSpacing"/>
                    <w:rPr>
                      <w:rStyle w:val="FontStyle52"/>
                      <w:rFonts w:asciiTheme="minorHAnsi" w:hAnsiTheme="minorHAnsi" w:cs="Times New Roman"/>
                      <w:b/>
                      <w:sz w:val="24"/>
                      <w:szCs w:val="24"/>
                    </w:rPr>
                  </w:pPr>
                </w:p>
                <w:p w:rsidR="007842A8" w:rsidRDefault="007842A8" w:rsidP="007601EA">
                  <w:pPr>
                    <w:pStyle w:val="NoSpacing"/>
                    <w:rPr>
                      <w:rStyle w:val="FontStyle52"/>
                      <w:rFonts w:asciiTheme="minorHAnsi" w:hAnsiTheme="minorHAnsi" w:cs="Times New Roman"/>
                      <w:b/>
                      <w:sz w:val="24"/>
                      <w:szCs w:val="24"/>
                    </w:rPr>
                  </w:pPr>
                  <w:r>
                    <w:rPr>
                      <w:rStyle w:val="FontStyle52"/>
                      <w:rFonts w:asciiTheme="minorHAnsi" w:hAnsiTheme="minorHAnsi" w:cs="Times New Roman"/>
                      <w:b/>
                      <w:sz w:val="24"/>
                      <w:szCs w:val="24"/>
                    </w:rPr>
                    <w:t xml:space="preserve">DAS Contract: </w:t>
                  </w:r>
                  <w:r w:rsidRPr="007842A8">
                    <w:rPr>
                      <w:rStyle w:val="FontStyle52"/>
                      <w:rFonts w:asciiTheme="minorHAnsi" w:hAnsiTheme="minorHAnsi" w:cs="Times New Roman"/>
                      <w:sz w:val="24"/>
                      <w:szCs w:val="24"/>
                    </w:rPr>
                    <w:t>16PSX0152 &amp; 16PSX0150</w:t>
                  </w:r>
                </w:p>
                <w:p w:rsidR="00756C3F" w:rsidRPr="007601EA" w:rsidRDefault="00224014" w:rsidP="007601EA">
                  <w:pPr>
                    <w:pStyle w:val="NoSpacing"/>
                    <w:rPr>
                      <w:rStyle w:val="FontStyle52"/>
                      <w:rFonts w:asciiTheme="minorHAnsi" w:hAnsiTheme="minorHAnsi" w:cs="Times New Roman"/>
                      <w:b/>
                      <w:sz w:val="24"/>
                      <w:szCs w:val="24"/>
                    </w:rPr>
                  </w:pPr>
                  <w:r w:rsidRPr="007601EA">
                    <w:rPr>
                      <w:rStyle w:val="FontStyle52"/>
                      <w:rFonts w:asciiTheme="minorHAnsi" w:hAnsiTheme="minorHAnsi" w:cs="Times New Roman"/>
                      <w:b/>
                      <w:sz w:val="24"/>
                      <w:szCs w:val="24"/>
                    </w:rPr>
                    <w:t xml:space="preserve">GSA </w:t>
                  </w:r>
                  <w:r w:rsidR="00756C3F" w:rsidRPr="007601EA">
                    <w:rPr>
                      <w:rStyle w:val="FontStyle52"/>
                      <w:rFonts w:asciiTheme="minorHAnsi" w:hAnsiTheme="minorHAnsi" w:cs="Times New Roman"/>
                      <w:b/>
                      <w:sz w:val="24"/>
                      <w:szCs w:val="24"/>
                    </w:rPr>
                    <w:t>Contract Number:</w:t>
                  </w:r>
                  <w:r w:rsidR="007601EA" w:rsidRPr="007601EA">
                    <w:rPr>
                      <w:rStyle w:val="FontStyle52"/>
                      <w:rFonts w:asciiTheme="minorHAnsi" w:hAnsiTheme="minorHAnsi" w:cs="Times New Roman"/>
                      <w:b/>
                      <w:sz w:val="24"/>
                      <w:szCs w:val="24"/>
                    </w:rPr>
                    <w:t xml:space="preserve"> </w:t>
                  </w:r>
                  <w:r w:rsidR="00756C3F" w:rsidRPr="007601EA">
                    <w:rPr>
                      <w:rStyle w:val="FontStyle52"/>
                      <w:rFonts w:asciiTheme="minorHAnsi" w:hAnsiTheme="minorHAnsi" w:cs="Times New Roman"/>
                      <w:sz w:val="24"/>
                      <w:szCs w:val="24"/>
                    </w:rPr>
                    <w:t>GS-10F-0372R</w:t>
                  </w:r>
                </w:p>
                <w:p w:rsidR="007842A8" w:rsidRDefault="00756C3F" w:rsidP="007601EA">
                  <w:pPr>
                    <w:pStyle w:val="Style20"/>
                    <w:widowControl/>
                    <w:spacing w:before="106" w:line="240" w:lineRule="auto"/>
                    <w:jc w:val="left"/>
                    <w:rPr>
                      <w:rStyle w:val="FontStyle52"/>
                      <w:rFonts w:asciiTheme="minorHAnsi" w:hAnsiTheme="minorHAnsi" w:cs="Times New Roman"/>
                      <w:sz w:val="24"/>
                      <w:szCs w:val="24"/>
                    </w:rPr>
                  </w:pPr>
                  <w:r w:rsidRPr="007601EA">
                    <w:rPr>
                      <w:rStyle w:val="FontStyle52"/>
                      <w:rFonts w:asciiTheme="minorHAnsi" w:hAnsiTheme="minorHAnsi" w:cs="Times New Roman"/>
                      <w:b/>
                      <w:sz w:val="24"/>
                      <w:szCs w:val="24"/>
                    </w:rPr>
                    <w:t xml:space="preserve">Federal Supply Group: </w:t>
                  </w:r>
                  <w:r w:rsidRPr="007601EA">
                    <w:rPr>
                      <w:rStyle w:val="FontStyle52"/>
                      <w:rFonts w:asciiTheme="minorHAnsi" w:hAnsiTheme="minorHAnsi" w:cs="Times New Roman"/>
                      <w:sz w:val="24"/>
                      <w:szCs w:val="24"/>
                    </w:rPr>
                    <w:t xml:space="preserve">738-II </w:t>
                  </w:r>
                </w:p>
                <w:p w:rsidR="00756C3F" w:rsidRPr="007842A8" w:rsidRDefault="00756C3F" w:rsidP="007601EA">
                  <w:pPr>
                    <w:pStyle w:val="Style20"/>
                    <w:widowControl/>
                    <w:spacing w:before="106" w:line="240" w:lineRule="auto"/>
                    <w:jc w:val="left"/>
                    <w:rPr>
                      <w:rStyle w:val="FontStyle52"/>
                      <w:rFonts w:asciiTheme="minorHAnsi" w:hAnsiTheme="minorHAnsi" w:cs="Times New Roman"/>
                      <w:sz w:val="24"/>
                      <w:szCs w:val="24"/>
                    </w:rPr>
                  </w:pPr>
                  <w:r w:rsidRPr="007601EA">
                    <w:rPr>
                      <w:rStyle w:val="FontStyle52"/>
                      <w:rFonts w:asciiTheme="minorHAnsi" w:hAnsiTheme="minorHAnsi" w:cs="Times New Roman"/>
                      <w:b/>
                      <w:sz w:val="24"/>
                      <w:szCs w:val="24"/>
                    </w:rPr>
                    <w:t xml:space="preserve">Class: </w:t>
                  </w:r>
                  <w:r w:rsidRPr="007601EA">
                    <w:rPr>
                      <w:rStyle w:val="FontStyle52"/>
                      <w:rFonts w:asciiTheme="minorHAnsi" w:hAnsiTheme="minorHAnsi" w:cs="Times New Roman"/>
                      <w:sz w:val="24"/>
                      <w:szCs w:val="24"/>
                    </w:rPr>
                    <w:t>R</w:t>
                  </w:r>
                  <w:r w:rsidR="009B55E9" w:rsidRPr="007601EA">
                    <w:rPr>
                      <w:rStyle w:val="FontStyle52"/>
                      <w:rFonts w:asciiTheme="minorHAnsi" w:hAnsiTheme="minorHAnsi" w:cs="Times New Roman"/>
                      <w:sz w:val="24"/>
                      <w:szCs w:val="24"/>
                    </w:rPr>
                    <w:t>608</w:t>
                  </w:r>
                </w:p>
                <w:p w:rsidR="003D37B8" w:rsidRPr="007601EA" w:rsidRDefault="003D37B8" w:rsidP="007601EA">
                  <w:pPr>
                    <w:pStyle w:val="Style20"/>
                    <w:widowControl/>
                    <w:spacing w:before="106" w:line="240" w:lineRule="auto"/>
                    <w:jc w:val="left"/>
                    <w:rPr>
                      <w:rStyle w:val="FontStyle52"/>
                      <w:rFonts w:asciiTheme="minorHAnsi" w:hAnsiTheme="minorHAnsi" w:cs="Times New Roman"/>
                      <w:b/>
                      <w:sz w:val="24"/>
                      <w:szCs w:val="24"/>
                    </w:rPr>
                  </w:pPr>
                  <w:r w:rsidRPr="007601EA">
                    <w:rPr>
                      <w:rStyle w:val="FontStyle52"/>
                      <w:rFonts w:asciiTheme="minorHAnsi" w:hAnsiTheme="minorHAnsi" w:cs="Times New Roman"/>
                      <w:b/>
                      <w:sz w:val="24"/>
                      <w:szCs w:val="24"/>
                    </w:rPr>
                    <w:t xml:space="preserve">DUNS: </w:t>
                  </w:r>
                  <w:r w:rsidRPr="007601EA">
                    <w:rPr>
                      <w:rStyle w:val="FontStyle52"/>
                      <w:rFonts w:asciiTheme="minorHAnsi" w:hAnsiTheme="minorHAnsi" w:cs="Times New Roman"/>
                      <w:sz w:val="24"/>
                      <w:szCs w:val="24"/>
                    </w:rPr>
                    <w:t>785238486</w:t>
                  </w:r>
                </w:p>
                <w:p w:rsidR="009630D9" w:rsidRDefault="009630D9" w:rsidP="007601EA">
                  <w:pPr>
                    <w:pStyle w:val="Style20"/>
                    <w:widowControl/>
                    <w:spacing w:before="106" w:line="240" w:lineRule="auto"/>
                    <w:jc w:val="left"/>
                    <w:rPr>
                      <w:rStyle w:val="FontStyle52"/>
                      <w:rFonts w:asciiTheme="minorHAnsi" w:hAnsiTheme="minorHAnsi" w:cs="Times New Roman"/>
                      <w:sz w:val="24"/>
                      <w:szCs w:val="24"/>
                    </w:rPr>
                  </w:pPr>
                  <w:r w:rsidRPr="007601EA">
                    <w:rPr>
                      <w:rStyle w:val="FontStyle52"/>
                      <w:rFonts w:asciiTheme="minorHAnsi" w:hAnsiTheme="minorHAnsi" w:cs="Times New Roman"/>
                      <w:b/>
                      <w:sz w:val="24"/>
                      <w:szCs w:val="24"/>
                    </w:rPr>
                    <w:t xml:space="preserve">FEIN: </w:t>
                  </w:r>
                  <w:r w:rsidRPr="007601EA">
                    <w:rPr>
                      <w:rStyle w:val="FontStyle52"/>
                      <w:rFonts w:asciiTheme="minorHAnsi" w:hAnsiTheme="minorHAnsi" w:cs="Times New Roman"/>
                      <w:sz w:val="24"/>
                      <w:szCs w:val="24"/>
                    </w:rPr>
                    <w:t>06-1165742</w:t>
                  </w:r>
                </w:p>
                <w:p w:rsidR="004D6141" w:rsidRPr="007601EA" w:rsidRDefault="00756C3F" w:rsidP="007601EA">
                  <w:pPr>
                    <w:pStyle w:val="NoSpacing"/>
                    <w:rPr>
                      <w:rStyle w:val="FontStyle52"/>
                      <w:rFonts w:asciiTheme="minorHAnsi" w:hAnsiTheme="minorHAnsi" w:cs="Times New Roman"/>
                      <w:b/>
                      <w:sz w:val="24"/>
                      <w:szCs w:val="24"/>
                    </w:rPr>
                  </w:pPr>
                  <w:r w:rsidRPr="007601EA">
                    <w:rPr>
                      <w:rStyle w:val="FontStyle52"/>
                      <w:rFonts w:asciiTheme="minorHAnsi" w:hAnsiTheme="minorHAnsi" w:cs="Times New Roman"/>
                      <w:b/>
                      <w:sz w:val="24"/>
                      <w:szCs w:val="24"/>
                    </w:rPr>
                    <w:t xml:space="preserve">Cage Code: </w:t>
                  </w:r>
                  <w:r w:rsidRPr="007601EA">
                    <w:rPr>
                      <w:rStyle w:val="FontStyle52"/>
                      <w:rFonts w:asciiTheme="minorHAnsi" w:hAnsiTheme="minorHAnsi" w:cs="Times New Roman"/>
                      <w:sz w:val="24"/>
                      <w:szCs w:val="24"/>
                    </w:rPr>
                    <w:t>3J6X5</w:t>
                  </w:r>
                </w:p>
                <w:p w:rsidR="007601EA" w:rsidRDefault="004D6141" w:rsidP="007601EA">
                  <w:pPr>
                    <w:pStyle w:val="NoSpacing"/>
                    <w:rPr>
                      <w:rStyle w:val="FontStyle52"/>
                      <w:rFonts w:asciiTheme="minorHAnsi" w:hAnsiTheme="minorHAnsi" w:cs="Times New Roman"/>
                      <w:b/>
                      <w:sz w:val="24"/>
                      <w:szCs w:val="24"/>
                    </w:rPr>
                  </w:pPr>
                  <w:r w:rsidRPr="007601EA">
                    <w:rPr>
                      <w:rStyle w:val="FontStyle52"/>
                      <w:rFonts w:asciiTheme="minorHAnsi" w:hAnsiTheme="minorHAnsi" w:cs="Times New Roman"/>
                      <w:b/>
                      <w:sz w:val="24"/>
                      <w:szCs w:val="24"/>
                    </w:rPr>
                    <w:t>SIN:</w:t>
                  </w:r>
                  <w:r w:rsidR="002C5542" w:rsidRPr="007601EA">
                    <w:rPr>
                      <w:rStyle w:val="FontStyle52"/>
                      <w:rFonts w:asciiTheme="minorHAnsi" w:hAnsiTheme="minorHAnsi" w:cs="Times New Roman"/>
                      <w:b/>
                      <w:sz w:val="24"/>
                      <w:szCs w:val="24"/>
                    </w:rPr>
                    <w:t xml:space="preserve"> </w:t>
                  </w:r>
                  <w:r w:rsidR="002C5542" w:rsidRPr="007601EA">
                    <w:rPr>
                      <w:rStyle w:val="FontStyle52"/>
                      <w:rFonts w:asciiTheme="minorHAnsi" w:hAnsiTheme="minorHAnsi" w:cs="Times New Roman"/>
                      <w:sz w:val="24"/>
                      <w:szCs w:val="24"/>
                    </w:rPr>
                    <w:t>382-1, 382-1RC</w:t>
                  </w:r>
                  <w:r w:rsidRPr="007601EA">
                    <w:rPr>
                      <w:rStyle w:val="FontStyle52"/>
                      <w:rFonts w:asciiTheme="minorHAnsi" w:hAnsiTheme="minorHAnsi" w:cs="Times New Roman"/>
                      <w:b/>
                      <w:sz w:val="24"/>
                      <w:szCs w:val="24"/>
                    </w:rPr>
                    <w:t xml:space="preserve"> </w:t>
                  </w:r>
                </w:p>
                <w:p w:rsidR="004D6141" w:rsidRPr="007601EA" w:rsidRDefault="007601EA" w:rsidP="007601EA">
                  <w:pPr>
                    <w:pStyle w:val="NoSpacing"/>
                    <w:rPr>
                      <w:rStyle w:val="FontStyle52"/>
                      <w:rFonts w:asciiTheme="minorHAnsi" w:hAnsiTheme="minorHAnsi" w:cs="Times New Roman"/>
                      <w:b/>
                      <w:sz w:val="24"/>
                      <w:szCs w:val="24"/>
                    </w:rPr>
                  </w:pPr>
                  <w:r>
                    <w:rPr>
                      <w:rStyle w:val="FontStyle52"/>
                      <w:rFonts w:asciiTheme="minorHAnsi" w:hAnsiTheme="minorHAnsi" w:cs="Times New Roman"/>
                      <w:sz w:val="24"/>
                      <w:szCs w:val="24"/>
                    </w:rPr>
                    <w:t xml:space="preserve">        </w:t>
                  </w:r>
                  <w:r w:rsidR="004D6141" w:rsidRPr="007601EA">
                    <w:rPr>
                      <w:rStyle w:val="FontStyle52"/>
                      <w:rFonts w:asciiTheme="minorHAnsi" w:hAnsiTheme="minorHAnsi" w:cs="Times New Roman"/>
                      <w:sz w:val="24"/>
                      <w:szCs w:val="24"/>
                    </w:rPr>
                    <w:t>382-2, 382-2RC</w:t>
                  </w:r>
                </w:p>
                <w:p w:rsidR="004D6141" w:rsidRPr="007601EA" w:rsidRDefault="007601EA" w:rsidP="007601EA">
                  <w:pPr>
                    <w:autoSpaceDE w:val="0"/>
                    <w:autoSpaceDN w:val="0"/>
                    <w:adjustRightInd w:val="0"/>
                    <w:spacing w:after="0" w:line="240" w:lineRule="auto"/>
                    <w:rPr>
                      <w:rStyle w:val="FontStyle52"/>
                      <w:rFonts w:asciiTheme="minorHAnsi" w:hAnsiTheme="minorHAnsi" w:cs="Times New Roman"/>
                      <w:sz w:val="24"/>
                      <w:szCs w:val="24"/>
                    </w:rPr>
                  </w:pPr>
                  <w:r>
                    <w:rPr>
                      <w:rStyle w:val="FontStyle52"/>
                      <w:rFonts w:asciiTheme="minorHAnsi" w:hAnsiTheme="minorHAnsi" w:cs="Times New Roman"/>
                      <w:sz w:val="24"/>
                      <w:szCs w:val="24"/>
                    </w:rPr>
                    <w:t xml:space="preserve">        </w:t>
                  </w:r>
                  <w:r w:rsidR="004D6141" w:rsidRPr="007601EA">
                    <w:rPr>
                      <w:rStyle w:val="FontStyle52"/>
                      <w:rFonts w:asciiTheme="minorHAnsi" w:hAnsiTheme="minorHAnsi" w:cs="Times New Roman"/>
                      <w:sz w:val="24"/>
                      <w:szCs w:val="24"/>
                    </w:rPr>
                    <w:t>382-5, 382-5RC</w:t>
                  </w:r>
                </w:p>
                <w:p w:rsidR="007601EA" w:rsidRDefault="004D6141" w:rsidP="007601EA">
                  <w:pPr>
                    <w:autoSpaceDE w:val="0"/>
                    <w:autoSpaceDN w:val="0"/>
                    <w:adjustRightInd w:val="0"/>
                    <w:spacing w:after="0" w:line="240" w:lineRule="auto"/>
                    <w:rPr>
                      <w:rFonts w:eastAsia="Times New Roman" w:cs="Times New Roman"/>
                      <w:sz w:val="24"/>
                      <w:szCs w:val="24"/>
                    </w:rPr>
                  </w:pPr>
                  <w:r w:rsidRPr="007601EA">
                    <w:rPr>
                      <w:rFonts w:cs="Times New Roman"/>
                      <w:b/>
                      <w:bCs/>
                      <w:color w:val="000000"/>
                      <w:sz w:val="24"/>
                      <w:szCs w:val="24"/>
                    </w:rPr>
                    <w:t>NAICS Codes:</w:t>
                  </w:r>
                  <w:r w:rsidR="007601EA">
                    <w:rPr>
                      <w:rFonts w:cs="Times New Roman"/>
                      <w:b/>
                      <w:bCs/>
                      <w:color w:val="000000"/>
                      <w:sz w:val="24"/>
                      <w:szCs w:val="24"/>
                    </w:rPr>
                    <w:t xml:space="preserve"> </w:t>
                  </w:r>
                  <w:r w:rsidR="007601EA">
                    <w:rPr>
                      <w:rFonts w:eastAsia="Times New Roman" w:cs="Times New Roman"/>
                      <w:sz w:val="24"/>
                      <w:szCs w:val="24"/>
                    </w:rPr>
                    <w:t>541930</w:t>
                  </w:r>
                </w:p>
                <w:p w:rsidR="004D6141" w:rsidRPr="007601EA" w:rsidRDefault="004D6141" w:rsidP="007601EA">
                  <w:pPr>
                    <w:autoSpaceDE w:val="0"/>
                    <w:autoSpaceDN w:val="0"/>
                    <w:adjustRightInd w:val="0"/>
                    <w:spacing w:after="0" w:line="240" w:lineRule="auto"/>
                    <w:rPr>
                      <w:rFonts w:eastAsia="Times New Roman" w:cs="Times New Roman"/>
                      <w:b/>
                      <w:sz w:val="24"/>
                      <w:szCs w:val="24"/>
                    </w:rPr>
                  </w:pPr>
                  <w:r w:rsidRPr="007601EA">
                    <w:rPr>
                      <w:rFonts w:eastAsia="Times New Roman" w:cs="Times New Roman"/>
                      <w:sz w:val="24"/>
                      <w:szCs w:val="24"/>
                    </w:rPr>
                    <w:t>Translation and Interpretation Services</w:t>
                  </w:r>
                </w:p>
                <w:p w:rsidR="001A5A52" w:rsidRPr="001A5A52" w:rsidRDefault="001A5A52" w:rsidP="009630D9">
                  <w:pPr>
                    <w:pStyle w:val="NoSpacing"/>
                    <w:rPr>
                      <w:rFonts w:ascii="Arial" w:eastAsia="Times New Roman" w:hAnsi="Arial" w:cs="Arial"/>
                    </w:rPr>
                  </w:pPr>
                </w:p>
              </w:tc>
              <w:tc>
                <w:tcPr>
                  <w:tcW w:w="4996" w:type="dxa"/>
                  <w:vMerge/>
                  <w:tcBorders>
                    <w:top w:val="single" w:sz="4" w:space="0" w:color="auto"/>
                    <w:left w:val="single" w:sz="4" w:space="0" w:color="auto"/>
                    <w:bottom w:val="single" w:sz="4" w:space="0" w:color="auto"/>
                    <w:right w:val="single" w:sz="4" w:space="0" w:color="auto"/>
                  </w:tcBorders>
                </w:tcPr>
                <w:p w:rsidR="00BF1C7C" w:rsidRPr="003B42DA" w:rsidRDefault="00BF1C7C" w:rsidP="00225A89">
                  <w:pPr>
                    <w:autoSpaceDE w:val="0"/>
                    <w:autoSpaceDN w:val="0"/>
                    <w:adjustRightInd w:val="0"/>
                    <w:spacing w:before="120" w:after="0" w:line="240" w:lineRule="auto"/>
                    <w:rPr>
                      <w:rFonts w:ascii="Arial" w:hAnsi="Arial" w:cs="Arial"/>
                      <w:sz w:val="24"/>
                      <w:szCs w:val="24"/>
                    </w:rPr>
                  </w:pPr>
                </w:p>
              </w:tc>
            </w:tr>
            <w:tr w:rsidR="00BF1C7C" w:rsidRPr="003B42DA" w:rsidTr="004E00BE">
              <w:trPr>
                <w:trHeight w:val="350"/>
              </w:trPr>
              <w:tc>
                <w:tcPr>
                  <w:tcW w:w="4915"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1441AA" w:rsidRPr="00D109C1" w:rsidRDefault="00A1385E" w:rsidP="00A1385E">
                  <w:pPr>
                    <w:pStyle w:val="NoSpacing"/>
                    <w:jc w:val="center"/>
                  </w:pPr>
                  <w:r>
                    <w:rPr>
                      <w:rFonts w:ascii="Arial" w:hAnsi="Arial" w:cs="Arial"/>
                      <w:sz w:val="24"/>
                      <w:szCs w:val="24"/>
                    </w:rPr>
                    <w:t>Cont</w:t>
                  </w:r>
                  <w:r w:rsidR="007601EA">
                    <w:rPr>
                      <w:rFonts w:ascii="Arial" w:hAnsi="Arial" w:cs="Arial"/>
                      <w:sz w:val="24"/>
                      <w:szCs w:val="24"/>
                    </w:rPr>
                    <w:t>act Information</w:t>
                  </w:r>
                </w:p>
              </w:tc>
              <w:tc>
                <w:tcPr>
                  <w:tcW w:w="4996" w:type="dxa"/>
                  <w:vMerge/>
                  <w:tcBorders>
                    <w:top w:val="single" w:sz="4" w:space="0" w:color="auto"/>
                    <w:left w:val="single" w:sz="4" w:space="0" w:color="auto"/>
                    <w:bottom w:val="single" w:sz="4" w:space="0" w:color="auto"/>
                    <w:right w:val="single" w:sz="4" w:space="0" w:color="auto"/>
                  </w:tcBorders>
                </w:tcPr>
                <w:p w:rsidR="00BF1C7C" w:rsidRPr="00D109C1" w:rsidRDefault="00BF1C7C" w:rsidP="00225A89">
                  <w:pPr>
                    <w:pStyle w:val="NoSpacing"/>
                    <w:jc w:val="center"/>
                    <w:rPr>
                      <w:rFonts w:ascii="Arial" w:hAnsi="Arial" w:cs="Arial"/>
                      <w:sz w:val="24"/>
                      <w:szCs w:val="24"/>
                      <w:bdr w:val="single" w:sz="4" w:space="0" w:color="auto"/>
                    </w:rPr>
                  </w:pPr>
                </w:p>
              </w:tc>
            </w:tr>
            <w:tr w:rsidR="00BF1C7C" w:rsidRPr="003B42DA" w:rsidTr="004E00BE">
              <w:trPr>
                <w:trHeight w:val="3077"/>
              </w:trPr>
              <w:tc>
                <w:tcPr>
                  <w:tcW w:w="4915" w:type="dxa"/>
                  <w:tcBorders>
                    <w:top w:val="single" w:sz="4" w:space="0" w:color="auto"/>
                    <w:left w:val="single" w:sz="4" w:space="0" w:color="auto"/>
                    <w:bottom w:val="single" w:sz="4" w:space="0" w:color="auto"/>
                    <w:right w:val="single" w:sz="4" w:space="0" w:color="auto"/>
                  </w:tcBorders>
                </w:tcPr>
                <w:p w:rsidR="00981A18" w:rsidRDefault="00981A18" w:rsidP="000742E1">
                  <w:pPr>
                    <w:pStyle w:val="NoSpacing"/>
                    <w:jc w:val="center"/>
                  </w:pPr>
                </w:p>
                <w:p w:rsidR="000742E1" w:rsidRDefault="000742E1" w:rsidP="000742E1">
                  <w:pPr>
                    <w:pStyle w:val="NoSpacing"/>
                    <w:jc w:val="center"/>
                  </w:pPr>
                </w:p>
                <w:p w:rsidR="000742E1" w:rsidRDefault="00511F67" w:rsidP="000742E1">
                  <w:pPr>
                    <w:pStyle w:val="NoSpacing"/>
                    <w:jc w:val="center"/>
                  </w:pPr>
                  <w:r>
                    <w:rPr>
                      <w:noProof/>
                    </w:rPr>
                    <w:drawing>
                      <wp:inline distT="0" distB="0" distL="0" distR="0">
                        <wp:extent cx="962025" cy="14412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SOL_ITI_WEB_TANIAPALERMO2016-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628" cy="1454186"/>
                                </a:xfrm>
                                <a:prstGeom prst="rect">
                                  <a:avLst/>
                                </a:prstGeom>
                              </pic:spPr>
                            </pic:pic>
                          </a:graphicData>
                        </a:graphic>
                      </wp:inline>
                    </w:drawing>
                  </w:r>
                </w:p>
                <w:p w:rsidR="000742E1" w:rsidRPr="000742E1" w:rsidRDefault="00511F67" w:rsidP="00511F67">
                  <w:pPr>
                    <w:pStyle w:val="NoSpacing"/>
                    <w:rPr>
                      <w:sz w:val="24"/>
                      <w:szCs w:val="24"/>
                    </w:rPr>
                  </w:pPr>
                  <w:r>
                    <w:t xml:space="preserve">   </w:t>
                  </w:r>
                  <w:r w:rsidR="000742E1" w:rsidRPr="000742E1">
                    <w:rPr>
                      <w:sz w:val="24"/>
                      <w:szCs w:val="24"/>
                    </w:rPr>
                    <w:t>Marisol Reyes-Hernandez, Account Manager</w:t>
                  </w:r>
                </w:p>
                <w:p w:rsidR="000742E1" w:rsidRPr="000742E1" w:rsidRDefault="000742E1" w:rsidP="000742E1">
                  <w:pPr>
                    <w:pStyle w:val="NoSpacing"/>
                    <w:jc w:val="center"/>
                    <w:rPr>
                      <w:sz w:val="24"/>
                      <w:szCs w:val="24"/>
                    </w:rPr>
                  </w:pPr>
                  <w:r w:rsidRPr="000742E1">
                    <w:rPr>
                      <w:sz w:val="24"/>
                      <w:szCs w:val="24"/>
                    </w:rPr>
                    <w:t>Office: 860.730.6149</w:t>
                  </w:r>
                </w:p>
                <w:p w:rsidR="000742E1" w:rsidRPr="000742E1" w:rsidRDefault="000742E1" w:rsidP="000742E1">
                  <w:pPr>
                    <w:pStyle w:val="NoSpacing"/>
                    <w:jc w:val="center"/>
                    <w:rPr>
                      <w:sz w:val="24"/>
                      <w:szCs w:val="24"/>
                    </w:rPr>
                  </w:pPr>
                  <w:r w:rsidRPr="000742E1">
                    <w:rPr>
                      <w:sz w:val="24"/>
                      <w:szCs w:val="24"/>
                    </w:rPr>
                    <w:t>Fax: 860.646.3590</w:t>
                  </w:r>
                </w:p>
                <w:p w:rsidR="000742E1" w:rsidRPr="000742E1" w:rsidRDefault="000742E1" w:rsidP="000742E1">
                  <w:pPr>
                    <w:pStyle w:val="NoSpacing"/>
                    <w:jc w:val="center"/>
                    <w:rPr>
                      <w:sz w:val="24"/>
                      <w:szCs w:val="24"/>
                    </w:rPr>
                  </w:pPr>
                  <w:r w:rsidRPr="000742E1">
                    <w:rPr>
                      <w:sz w:val="24"/>
                      <w:szCs w:val="24"/>
                    </w:rPr>
                    <w:t>263 Main Street</w:t>
                  </w:r>
                </w:p>
                <w:p w:rsidR="000742E1" w:rsidRPr="000742E1" w:rsidRDefault="000742E1" w:rsidP="000742E1">
                  <w:pPr>
                    <w:pStyle w:val="NoSpacing"/>
                    <w:jc w:val="center"/>
                    <w:rPr>
                      <w:sz w:val="24"/>
                      <w:szCs w:val="24"/>
                    </w:rPr>
                  </w:pPr>
                  <w:r w:rsidRPr="000742E1">
                    <w:rPr>
                      <w:sz w:val="24"/>
                      <w:szCs w:val="24"/>
                    </w:rPr>
                    <w:t>Manchester, CT 06042-3538</w:t>
                  </w:r>
                </w:p>
                <w:p w:rsidR="000742E1" w:rsidRPr="000742E1" w:rsidRDefault="00402293" w:rsidP="000742E1">
                  <w:pPr>
                    <w:pStyle w:val="NoSpacing"/>
                    <w:jc w:val="center"/>
                    <w:rPr>
                      <w:sz w:val="24"/>
                      <w:szCs w:val="24"/>
                    </w:rPr>
                  </w:pPr>
                  <w:hyperlink r:id="rId9" w:history="1">
                    <w:r w:rsidR="000742E1" w:rsidRPr="000742E1">
                      <w:rPr>
                        <w:rStyle w:val="Hyperlink"/>
                        <w:sz w:val="24"/>
                        <w:szCs w:val="24"/>
                      </w:rPr>
                      <w:t>mrhernandez@ititranslates.com</w:t>
                    </w:r>
                  </w:hyperlink>
                </w:p>
                <w:p w:rsidR="000742E1" w:rsidRPr="004720F5" w:rsidRDefault="000742E1" w:rsidP="000742E1">
                  <w:pPr>
                    <w:pStyle w:val="NoSpacing"/>
                    <w:jc w:val="center"/>
                  </w:pPr>
                </w:p>
              </w:tc>
              <w:tc>
                <w:tcPr>
                  <w:tcW w:w="4996" w:type="dxa"/>
                  <w:vMerge/>
                  <w:tcBorders>
                    <w:top w:val="single" w:sz="4" w:space="0" w:color="auto"/>
                    <w:left w:val="single" w:sz="4" w:space="0" w:color="auto"/>
                    <w:bottom w:val="single" w:sz="4" w:space="0" w:color="auto"/>
                    <w:right w:val="single" w:sz="4" w:space="0" w:color="auto"/>
                  </w:tcBorders>
                </w:tcPr>
                <w:p w:rsidR="00BF1C7C" w:rsidRPr="00D109C1" w:rsidRDefault="00BF1C7C" w:rsidP="00225A89">
                  <w:pPr>
                    <w:pStyle w:val="NoSpacing"/>
                  </w:pPr>
                </w:p>
              </w:tc>
            </w:tr>
          </w:tbl>
          <w:p w:rsidR="009F43B3" w:rsidRDefault="009F43B3" w:rsidP="0046539B">
            <w:pPr>
              <w:jc w:val="center"/>
              <w:rPr>
                <w:b/>
                <w:sz w:val="20"/>
                <w:szCs w:val="20"/>
              </w:rPr>
            </w:pPr>
          </w:p>
          <w:p w:rsidR="00D109C1" w:rsidRDefault="002E7479" w:rsidP="00981A18">
            <w:pPr>
              <w:jc w:val="center"/>
            </w:pPr>
            <w:r>
              <w:rPr>
                <w:noProof/>
              </w:rPr>
              <w:drawing>
                <wp:anchor distT="0" distB="0" distL="114300" distR="114300" simplePos="0" relativeHeight="251663360" behindDoc="0" locked="0" layoutInCell="1" allowOverlap="1" wp14:anchorId="45696D48" wp14:editId="7892344D">
                  <wp:simplePos x="0" y="0"/>
                  <wp:positionH relativeFrom="column">
                    <wp:posOffset>1831975</wp:posOffset>
                  </wp:positionH>
                  <wp:positionV relativeFrom="paragraph">
                    <wp:posOffset>6713220</wp:posOffset>
                  </wp:positionV>
                  <wp:extent cx="1986915"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6915" cy="527685"/>
                          </a:xfrm>
                          <a:prstGeom prst="rect">
                            <a:avLst/>
                          </a:prstGeom>
                        </pic:spPr>
                      </pic:pic>
                    </a:graphicData>
                  </a:graphic>
                  <wp14:sizeRelH relativeFrom="page">
                    <wp14:pctWidth>0</wp14:pctWidth>
                  </wp14:sizeRelH>
                  <wp14:sizeRelV relativeFrom="page">
                    <wp14:pctHeight>0</wp14:pctHeight>
                  </wp14:sizeRelV>
                </wp:anchor>
              </w:drawing>
            </w:r>
            <w:r w:rsidR="00804152">
              <w:rPr>
                <w:b/>
                <w:sz w:val="20"/>
                <w:szCs w:val="20"/>
              </w:rPr>
              <w:t xml:space="preserve">Learn more about our customized </w:t>
            </w:r>
            <w:r>
              <w:rPr>
                <w:b/>
                <w:sz w:val="20"/>
                <w:szCs w:val="20"/>
              </w:rPr>
              <w:t>marketing</w:t>
            </w:r>
            <w:r w:rsidR="00804152">
              <w:rPr>
                <w:b/>
                <w:sz w:val="20"/>
                <w:szCs w:val="20"/>
              </w:rPr>
              <w:t xml:space="preserve"> solutions at </w:t>
            </w:r>
            <w:hyperlink r:id="rId11" w:history="1">
              <w:r w:rsidRPr="00896192">
                <w:rPr>
                  <w:rStyle w:val="Hyperlink"/>
                  <w:b/>
                  <w:sz w:val="20"/>
                  <w:szCs w:val="20"/>
                </w:rPr>
                <w:t>www.ititranslates.com/marketing-advertising-solutions</w:t>
              </w:r>
            </w:hyperlink>
          </w:p>
        </w:tc>
      </w:tr>
    </w:tbl>
    <w:p w:rsidR="0023562A" w:rsidRDefault="0023562A" w:rsidP="00892399"/>
    <w:sectPr w:rsidR="0023562A" w:rsidSect="00225A89">
      <w:headerReference w:type="default" r:id="rId12"/>
      <w:footerReference w:type="default" r:id="rId13"/>
      <w:pgSz w:w="12240" w:h="15840"/>
      <w:pgMar w:top="270" w:right="810"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82" w:rsidRDefault="00E23582" w:rsidP="007601EA">
      <w:pPr>
        <w:spacing w:after="0" w:line="240" w:lineRule="auto"/>
      </w:pPr>
      <w:r>
        <w:separator/>
      </w:r>
    </w:p>
  </w:endnote>
  <w:endnote w:type="continuationSeparator" w:id="0">
    <w:p w:rsidR="00E23582" w:rsidRDefault="00E23582" w:rsidP="0076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EA" w:rsidRDefault="0046539B" w:rsidP="0046539B">
    <w:pPr>
      <w:pStyle w:val="Footer"/>
      <w:jc w:val="center"/>
    </w:pPr>
    <w:r>
      <w:rPr>
        <w:noProof/>
      </w:rPr>
      <w:drawing>
        <wp:anchor distT="0" distB="0" distL="114300" distR="114300" simplePos="0" relativeHeight="251659264" behindDoc="0" locked="0" layoutInCell="1" allowOverlap="1" wp14:anchorId="78BB5496" wp14:editId="45A8F002">
          <wp:simplePos x="0" y="0"/>
          <wp:positionH relativeFrom="column">
            <wp:posOffset>6027420</wp:posOffset>
          </wp:positionH>
          <wp:positionV relativeFrom="paragraph">
            <wp:posOffset>62865</wp:posOffset>
          </wp:positionV>
          <wp:extent cx="664210" cy="646430"/>
          <wp:effectExtent l="0" t="0" r="254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46430"/>
                  </a:xfrm>
                  <a:prstGeom prst="rect">
                    <a:avLst/>
                  </a:prstGeom>
                  <a:noFill/>
                </pic:spPr>
              </pic:pic>
            </a:graphicData>
          </a:graphic>
          <wp14:sizeRelH relativeFrom="page">
            <wp14:pctWidth>0</wp14:pctWidth>
          </wp14:sizeRelH>
          <wp14:sizeRelV relativeFrom="page">
            <wp14:pctHeight>0</wp14:pctHeight>
          </wp14:sizeRelV>
        </wp:anchor>
      </w:drawing>
    </w:r>
    <w:r>
      <w:rPr>
        <w:rFonts w:ascii="Californian FB" w:hAnsi="Californian FB" w:cs="Vijaya"/>
        <w:i/>
        <w:color w:val="5F497A" w:themeColor="accent4" w:themeShade="BF"/>
        <w:sz w:val="44"/>
        <w:szCs w:val="44"/>
      </w:rPr>
      <w:t>Y</w:t>
    </w:r>
    <w:r w:rsidR="007601EA" w:rsidRPr="007E47C3">
      <w:rPr>
        <w:rFonts w:ascii="Californian FB" w:hAnsi="Californian FB" w:cs="Vijaya"/>
        <w:i/>
        <w:color w:val="5F497A" w:themeColor="accent4" w:themeShade="BF"/>
        <w:sz w:val="44"/>
        <w:szCs w:val="44"/>
      </w:rPr>
      <w:t>our source for multicultural language 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82" w:rsidRDefault="00E23582" w:rsidP="007601EA">
      <w:pPr>
        <w:spacing w:after="0" w:line="240" w:lineRule="auto"/>
      </w:pPr>
      <w:r>
        <w:separator/>
      </w:r>
    </w:p>
  </w:footnote>
  <w:footnote w:type="continuationSeparator" w:id="0">
    <w:p w:rsidR="00E23582" w:rsidRDefault="00E23582" w:rsidP="0076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52" w:rsidRDefault="00804152" w:rsidP="00804152">
    <w:pPr>
      <w:pStyle w:val="Header"/>
      <w:jc w:val="center"/>
    </w:pPr>
    <w:r>
      <w:rPr>
        <w:noProof/>
      </w:rPr>
      <w:drawing>
        <wp:anchor distT="0" distB="0" distL="114300" distR="114300" simplePos="0" relativeHeight="251658240" behindDoc="0" locked="0" layoutInCell="1" allowOverlap="1">
          <wp:simplePos x="0" y="0"/>
          <wp:positionH relativeFrom="column">
            <wp:posOffset>1507490</wp:posOffset>
          </wp:positionH>
          <wp:positionV relativeFrom="paragraph">
            <wp:posOffset>-208915</wp:posOffset>
          </wp:positionV>
          <wp:extent cx="3600450" cy="9137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00450" cy="913765"/>
                  </a:xfrm>
                  <a:prstGeom prst="rect">
                    <a:avLst/>
                  </a:prstGeom>
                </pic:spPr>
              </pic:pic>
            </a:graphicData>
          </a:graphic>
          <wp14:sizeRelH relativeFrom="page">
            <wp14:pctWidth>0</wp14:pctWidth>
          </wp14:sizeRelH>
          <wp14:sizeRelV relativeFrom="page">
            <wp14:pctHeight>0</wp14:pctHeight>
          </wp14:sizeRelV>
        </wp:anchor>
      </w:drawing>
    </w:r>
  </w:p>
  <w:p w:rsidR="00804152" w:rsidRDefault="00804152">
    <w:pPr>
      <w:pStyle w:val="Header"/>
    </w:pPr>
  </w:p>
  <w:p w:rsidR="00804152" w:rsidRDefault="00804152">
    <w:pPr>
      <w:pStyle w:val="Header"/>
    </w:pPr>
  </w:p>
  <w:p w:rsidR="00804152" w:rsidRDefault="00804152" w:rsidP="00804152">
    <w:pPr>
      <w:pStyle w:val="Header"/>
      <w:jc w:val="center"/>
    </w:pPr>
  </w:p>
  <w:p w:rsidR="00804152" w:rsidRPr="00804152" w:rsidRDefault="00804152" w:rsidP="00804152">
    <w:pPr>
      <w:pStyle w:val="Header"/>
      <w:jc w:val="center"/>
      <w:rPr>
        <w:b/>
        <w:sz w:val="4"/>
        <w:szCs w:val="4"/>
        <w:u w:val="single"/>
      </w:rPr>
    </w:pPr>
  </w:p>
  <w:p w:rsidR="00804152" w:rsidRPr="00804152" w:rsidRDefault="00804152" w:rsidP="00804152">
    <w:pPr>
      <w:pStyle w:val="Header"/>
      <w:jc w:val="center"/>
      <w:rPr>
        <w:b/>
        <w:sz w:val="28"/>
        <w:u w:val="single"/>
      </w:rPr>
    </w:pPr>
    <w:r w:rsidRPr="00804152">
      <w:rPr>
        <w:b/>
        <w:sz w:val="28"/>
        <w:u w:val="single"/>
      </w:rPr>
      <w:t xml:space="preserve">Capability Statement </w:t>
    </w:r>
  </w:p>
  <w:p w:rsidR="00804152" w:rsidRDefault="00804152" w:rsidP="00804152">
    <w:pPr>
      <w:pStyle w:val="Header"/>
      <w:tabs>
        <w:tab w:val="clear" w:pos="4680"/>
        <w:tab w:val="clear" w:pos="9360"/>
        <w:tab w:val="left" w:pos="6855"/>
        <w:tab w:val="left" w:pos="84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5F0B"/>
    <w:multiLevelType w:val="hybridMultilevel"/>
    <w:tmpl w:val="F984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B22C9"/>
    <w:multiLevelType w:val="hybridMultilevel"/>
    <w:tmpl w:val="4B16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87119"/>
    <w:multiLevelType w:val="hybridMultilevel"/>
    <w:tmpl w:val="453E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C0937"/>
    <w:multiLevelType w:val="hybridMultilevel"/>
    <w:tmpl w:val="5CEC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A26C4"/>
    <w:multiLevelType w:val="multilevel"/>
    <w:tmpl w:val="B79EB79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numFmt w:val="bullet"/>
      <w:lvlText w:val="–"/>
      <w:lvlJc w:val="left"/>
      <w:pPr>
        <w:ind w:left="1440" w:hanging="360"/>
      </w:pPr>
      <w:rPr>
        <w:rFonts w:ascii="Calibri" w:eastAsiaTheme="minorEastAsia" w:hAnsi="Calibri" w:cs="Calibri"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53162C71"/>
    <w:multiLevelType w:val="hybridMultilevel"/>
    <w:tmpl w:val="6BE2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B074C"/>
    <w:multiLevelType w:val="multilevel"/>
    <w:tmpl w:val="39562B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Calibri" w:eastAsiaTheme="minorEastAsia" w:hAnsi="Calibri" w:cs="Calibr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5"/>
  </w:num>
  <w:num w:numId="4">
    <w:abstractNumId w:val="1"/>
  </w:num>
  <w:num w:numId="5">
    <w:abstractNumId w:val="5"/>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8C"/>
    <w:rsid w:val="00033E81"/>
    <w:rsid w:val="000742E1"/>
    <w:rsid w:val="0009360E"/>
    <w:rsid w:val="000B2703"/>
    <w:rsid w:val="001441AA"/>
    <w:rsid w:val="00184C14"/>
    <w:rsid w:val="001A5A52"/>
    <w:rsid w:val="001C7C8E"/>
    <w:rsid w:val="00224014"/>
    <w:rsid w:val="00225A89"/>
    <w:rsid w:val="0023562A"/>
    <w:rsid w:val="00297B25"/>
    <w:rsid w:val="002C5542"/>
    <w:rsid w:val="002C7EB6"/>
    <w:rsid w:val="002D2561"/>
    <w:rsid w:val="002E7479"/>
    <w:rsid w:val="00351622"/>
    <w:rsid w:val="003B42DA"/>
    <w:rsid w:val="003C768C"/>
    <w:rsid w:val="003D37B8"/>
    <w:rsid w:val="00402293"/>
    <w:rsid w:val="00407E6A"/>
    <w:rsid w:val="00410421"/>
    <w:rsid w:val="0042692C"/>
    <w:rsid w:val="00454F1A"/>
    <w:rsid w:val="0046539B"/>
    <w:rsid w:val="004720F5"/>
    <w:rsid w:val="004D6141"/>
    <w:rsid w:val="004E00BE"/>
    <w:rsid w:val="00510FBB"/>
    <w:rsid w:val="00511F67"/>
    <w:rsid w:val="00515F93"/>
    <w:rsid w:val="00562BA3"/>
    <w:rsid w:val="00566AD5"/>
    <w:rsid w:val="00570225"/>
    <w:rsid w:val="00602654"/>
    <w:rsid w:val="00605111"/>
    <w:rsid w:val="006337C8"/>
    <w:rsid w:val="006409F2"/>
    <w:rsid w:val="00650212"/>
    <w:rsid w:val="006878EF"/>
    <w:rsid w:val="00687CAF"/>
    <w:rsid w:val="006C06C5"/>
    <w:rsid w:val="006F3AB4"/>
    <w:rsid w:val="00736B1C"/>
    <w:rsid w:val="00756C3F"/>
    <w:rsid w:val="007601EA"/>
    <w:rsid w:val="00771015"/>
    <w:rsid w:val="00776CEE"/>
    <w:rsid w:val="007842A8"/>
    <w:rsid w:val="0079118D"/>
    <w:rsid w:val="007A3E5F"/>
    <w:rsid w:val="00800D18"/>
    <w:rsid w:val="00804152"/>
    <w:rsid w:val="008378A9"/>
    <w:rsid w:val="00880342"/>
    <w:rsid w:val="00880CED"/>
    <w:rsid w:val="00892399"/>
    <w:rsid w:val="00895BC3"/>
    <w:rsid w:val="008972AA"/>
    <w:rsid w:val="008C3473"/>
    <w:rsid w:val="008D4B59"/>
    <w:rsid w:val="008D4D38"/>
    <w:rsid w:val="00930F7C"/>
    <w:rsid w:val="009449B5"/>
    <w:rsid w:val="00953DB2"/>
    <w:rsid w:val="009630D9"/>
    <w:rsid w:val="00981A18"/>
    <w:rsid w:val="009B55E9"/>
    <w:rsid w:val="009F43B3"/>
    <w:rsid w:val="00A1385E"/>
    <w:rsid w:val="00A86E6E"/>
    <w:rsid w:val="00A87F3F"/>
    <w:rsid w:val="00A90627"/>
    <w:rsid w:val="00B37204"/>
    <w:rsid w:val="00B76979"/>
    <w:rsid w:val="00BB22D7"/>
    <w:rsid w:val="00BF1C7C"/>
    <w:rsid w:val="00BF3A13"/>
    <w:rsid w:val="00C5633F"/>
    <w:rsid w:val="00CA0C30"/>
    <w:rsid w:val="00D109C1"/>
    <w:rsid w:val="00D57AA4"/>
    <w:rsid w:val="00E23582"/>
    <w:rsid w:val="00E3646E"/>
    <w:rsid w:val="00E74554"/>
    <w:rsid w:val="00EA0E1E"/>
    <w:rsid w:val="00EC7478"/>
    <w:rsid w:val="00ED66DF"/>
    <w:rsid w:val="00F7349F"/>
    <w:rsid w:val="00FD3BE7"/>
    <w:rsid w:val="00FD7706"/>
    <w:rsid w:val="00FE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2F6D979-A2D9-432B-B054-869B55FC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6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7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68C"/>
    <w:rPr>
      <w:rFonts w:ascii="Tahoma" w:hAnsi="Tahoma" w:cs="Tahoma"/>
      <w:sz w:val="16"/>
      <w:szCs w:val="16"/>
    </w:rPr>
  </w:style>
  <w:style w:type="paragraph" w:customStyle="1" w:styleId="Default">
    <w:name w:val="Default"/>
    <w:rsid w:val="003B42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0C30"/>
    <w:rPr>
      <w:color w:val="0000FF"/>
      <w:u w:val="single"/>
    </w:rPr>
  </w:style>
  <w:style w:type="table" w:customStyle="1" w:styleId="Calendar1">
    <w:name w:val="Calendar 1"/>
    <w:basedOn w:val="TableNormal"/>
    <w:uiPriority w:val="99"/>
    <w:qFormat/>
    <w:rsid w:val="00033E81"/>
    <w:pPr>
      <w:spacing w:after="0" w:line="240" w:lineRule="auto"/>
    </w:pPr>
    <w:rPr>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NoSpacing">
    <w:name w:val="No Spacing"/>
    <w:uiPriority w:val="1"/>
    <w:qFormat/>
    <w:rsid w:val="00D109C1"/>
    <w:pPr>
      <w:spacing w:after="0" w:line="240" w:lineRule="auto"/>
    </w:pPr>
  </w:style>
  <w:style w:type="paragraph" w:customStyle="1" w:styleId="Style20">
    <w:name w:val="Style20"/>
    <w:basedOn w:val="Normal"/>
    <w:uiPriority w:val="99"/>
    <w:rsid w:val="00756C3F"/>
    <w:pPr>
      <w:widowControl w:val="0"/>
      <w:autoSpaceDE w:val="0"/>
      <w:autoSpaceDN w:val="0"/>
      <w:adjustRightInd w:val="0"/>
      <w:spacing w:after="0" w:line="359" w:lineRule="exact"/>
      <w:jc w:val="center"/>
    </w:pPr>
    <w:rPr>
      <w:rFonts w:ascii="Arial Narrow" w:hAnsi="Arial Narrow"/>
      <w:sz w:val="24"/>
      <w:szCs w:val="24"/>
    </w:rPr>
  </w:style>
  <w:style w:type="character" w:customStyle="1" w:styleId="FontStyle52">
    <w:name w:val="Font Style52"/>
    <w:basedOn w:val="DefaultParagraphFont"/>
    <w:uiPriority w:val="99"/>
    <w:rsid w:val="00756C3F"/>
    <w:rPr>
      <w:rFonts w:ascii="Segoe UI" w:hAnsi="Segoe UI" w:cs="Segoe UI"/>
      <w:sz w:val="28"/>
      <w:szCs w:val="28"/>
    </w:rPr>
  </w:style>
  <w:style w:type="paragraph" w:styleId="Footer">
    <w:name w:val="footer"/>
    <w:basedOn w:val="Normal"/>
    <w:link w:val="FooterChar"/>
    <w:uiPriority w:val="99"/>
    <w:unhideWhenUsed/>
    <w:rsid w:val="007601E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601EA"/>
    <w:rPr>
      <w:rFonts w:eastAsiaTheme="minorHAnsi"/>
    </w:rPr>
  </w:style>
  <w:style w:type="paragraph" w:styleId="Header">
    <w:name w:val="header"/>
    <w:basedOn w:val="Normal"/>
    <w:link w:val="HeaderChar"/>
    <w:uiPriority w:val="99"/>
    <w:unhideWhenUsed/>
    <w:rsid w:val="00760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20991">
      <w:bodyDiv w:val="1"/>
      <w:marLeft w:val="0"/>
      <w:marRight w:val="0"/>
      <w:marTop w:val="0"/>
      <w:marBottom w:val="0"/>
      <w:divBdr>
        <w:top w:val="none" w:sz="0" w:space="0" w:color="auto"/>
        <w:left w:val="none" w:sz="0" w:space="0" w:color="auto"/>
        <w:bottom w:val="none" w:sz="0" w:space="0" w:color="auto"/>
        <w:right w:val="none" w:sz="0" w:space="0" w:color="auto"/>
      </w:divBdr>
    </w:div>
    <w:div w:id="445001466">
      <w:bodyDiv w:val="1"/>
      <w:marLeft w:val="0"/>
      <w:marRight w:val="0"/>
      <w:marTop w:val="0"/>
      <w:marBottom w:val="0"/>
      <w:divBdr>
        <w:top w:val="none" w:sz="0" w:space="0" w:color="auto"/>
        <w:left w:val="none" w:sz="0" w:space="0" w:color="auto"/>
        <w:bottom w:val="none" w:sz="0" w:space="0" w:color="auto"/>
        <w:right w:val="none" w:sz="0" w:space="0" w:color="auto"/>
      </w:divBdr>
    </w:div>
    <w:div w:id="749959714">
      <w:bodyDiv w:val="1"/>
      <w:marLeft w:val="0"/>
      <w:marRight w:val="0"/>
      <w:marTop w:val="0"/>
      <w:marBottom w:val="0"/>
      <w:divBdr>
        <w:top w:val="none" w:sz="0" w:space="0" w:color="auto"/>
        <w:left w:val="none" w:sz="0" w:space="0" w:color="auto"/>
        <w:bottom w:val="none" w:sz="0" w:space="0" w:color="auto"/>
        <w:right w:val="none" w:sz="0" w:space="0" w:color="auto"/>
      </w:divBdr>
    </w:div>
    <w:div w:id="969820573">
      <w:bodyDiv w:val="1"/>
      <w:marLeft w:val="0"/>
      <w:marRight w:val="0"/>
      <w:marTop w:val="0"/>
      <w:marBottom w:val="0"/>
      <w:divBdr>
        <w:top w:val="none" w:sz="0" w:space="0" w:color="auto"/>
        <w:left w:val="none" w:sz="0" w:space="0" w:color="auto"/>
        <w:bottom w:val="none" w:sz="0" w:space="0" w:color="auto"/>
        <w:right w:val="none" w:sz="0" w:space="0" w:color="auto"/>
      </w:divBdr>
      <w:divsChild>
        <w:div w:id="673845454">
          <w:marLeft w:val="0"/>
          <w:marRight w:val="0"/>
          <w:marTop w:val="0"/>
          <w:marBottom w:val="0"/>
          <w:divBdr>
            <w:top w:val="none" w:sz="0" w:space="0" w:color="auto"/>
            <w:left w:val="none" w:sz="0" w:space="0" w:color="auto"/>
            <w:bottom w:val="none" w:sz="0" w:space="0" w:color="auto"/>
            <w:right w:val="none" w:sz="0" w:space="0" w:color="auto"/>
          </w:divBdr>
          <w:divsChild>
            <w:div w:id="1971276673">
              <w:marLeft w:val="0"/>
              <w:marRight w:val="0"/>
              <w:marTop w:val="0"/>
              <w:marBottom w:val="0"/>
              <w:divBdr>
                <w:top w:val="none" w:sz="0" w:space="0" w:color="auto"/>
                <w:left w:val="none" w:sz="0" w:space="0" w:color="auto"/>
                <w:bottom w:val="none" w:sz="0" w:space="0" w:color="auto"/>
                <w:right w:val="none" w:sz="0" w:space="0" w:color="auto"/>
              </w:divBdr>
              <w:divsChild>
                <w:div w:id="1971740461">
                  <w:marLeft w:val="0"/>
                  <w:marRight w:val="0"/>
                  <w:marTop w:val="0"/>
                  <w:marBottom w:val="0"/>
                  <w:divBdr>
                    <w:top w:val="none" w:sz="0" w:space="0" w:color="auto"/>
                    <w:left w:val="none" w:sz="0" w:space="0" w:color="auto"/>
                    <w:bottom w:val="none" w:sz="0" w:space="0" w:color="auto"/>
                    <w:right w:val="none" w:sz="0" w:space="0" w:color="auto"/>
                  </w:divBdr>
                  <w:divsChild>
                    <w:div w:id="520242761">
                      <w:marLeft w:val="0"/>
                      <w:marRight w:val="0"/>
                      <w:marTop w:val="0"/>
                      <w:marBottom w:val="0"/>
                      <w:divBdr>
                        <w:top w:val="none" w:sz="0" w:space="0" w:color="auto"/>
                        <w:left w:val="none" w:sz="0" w:space="0" w:color="auto"/>
                        <w:bottom w:val="none" w:sz="0" w:space="0" w:color="auto"/>
                        <w:right w:val="none" w:sz="0" w:space="0" w:color="auto"/>
                      </w:divBdr>
                      <w:divsChild>
                        <w:div w:id="1391415336">
                          <w:marLeft w:val="0"/>
                          <w:marRight w:val="0"/>
                          <w:marTop w:val="31"/>
                          <w:marBottom w:val="0"/>
                          <w:divBdr>
                            <w:top w:val="none" w:sz="0" w:space="0" w:color="auto"/>
                            <w:left w:val="none" w:sz="0" w:space="0" w:color="auto"/>
                            <w:bottom w:val="none" w:sz="0" w:space="0" w:color="auto"/>
                            <w:right w:val="none" w:sz="0" w:space="0" w:color="auto"/>
                          </w:divBdr>
                          <w:divsChild>
                            <w:div w:id="2084377610">
                              <w:marLeft w:val="0"/>
                              <w:marRight w:val="0"/>
                              <w:marTop w:val="0"/>
                              <w:marBottom w:val="0"/>
                              <w:divBdr>
                                <w:top w:val="none" w:sz="0" w:space="0" w:color="auto"/>
                                <w:left w:val="none" w:sz="0" w:space="0" w:color="auto"/>
                                <w:bottom w:val="none" w:sz="0" w:space="0" w:color="auto"/>
                                <w:right w:val="none" w:sz="0" w:space="0" w:color="auto"/>
                              </w:divBdr>
                              <w:divsChild>
                                <w:div w:id="842211033">
                                  <w:marLeft w:val="0"/>
                                  <w:marRight w:val="0"/>
                                  <w:marTop w:val="0"/>
                                  <w:marBottom w:val="0"/>
                                  <w:divBdr>
                                    <w:top w:val="none" w:sz="0" w:space="0" w:color="auto"/>
                                    <w:left w:val="none" w:sz="0" w:space="0" w:color="auto"/>
                                    <w:bottom w:val="none" w:sz="0" w:space="0" w:color="auto"/>
                                    <w:right w:val="none" w:sz="0" w:space="0" w:color="auto"/>
                                  </w:divBdr>
                                  <w:divsChild>
                                    <w:div w:id="146477866">
                                      <w:marLeft w:val="0"/>
                                      <w:marRight w:val="0"/>
                                      <w:marTop w:val="0"/>
                                      <w:marBottom w:val="0"/>
                                      <w:divBdr>
                                        <w:top w:val="none" w:sz="0" w:space="0" w:color="auto"/>
                                        <w:left w:val="none" w:sz="0" w:space="0" w:color="auto"/>
                                        <w:bottom w:val="none" w:sz="0" w:space="0" w:color="auto"/>
                                        <w:right w:val="none" w:sz="0" w:space="0" w:color="auto"/>
                                      </w:divBdr>
                                      <w:divsChild>
                                        <w:div w:id="827092573">
                                          <w:marLeft w:val="0"/>
                                          <w:marRight w:val="0"/>
                                          <w:marTop w:val="0"/>
                                          <w:marBottom w:val="0"/>
                                          <w:divBdr>
                                            <w:top w:val="none" w:sz="0" w:space="0" w:color="auto"/>
                                            <w:left w:val="none" w:sz="0" w:space="0" w:color="auto"/>
                                            <w:bottom w:val="none" w:sz="0" w:space="0" w:color="auto"/>
                                            <w:right w:val="none" w:sz="0" w:space="0" w:color="auto"/>
                                          </w:divBdr>
                                          <w:divsChild>
                                            <w:div w:id="487329954">
                                              <w:marLeft w:val="0"/>
                                              <w:marRight w:val="0"/>
                                              <w:marTop w:val="0"/>
                                              <w:marBottom w:val="0"/>
                                              <w:divBdr>
                                                <w:top w:val="none" w:sz="0" w:space="0" w:color="auto"/>
                                                <w:left w:val="none" w:sz="0" w:space="0" w:color="auto"/>
                                                <w:bottom w:val="none" w:sz="0" w:space="0" w:color="auto"/>
                                                <w:right w:val="none" w:sz="0" w:space="0" w:color="auto"/>
                                              </w:divBdr>
                                              <w:divsChild>
                                                <w:div w:id="13287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61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itranslates.com/marketing-advertising-solu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rhernandez@ititranslate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A9D7-920D-4F2A-B75D-C4296BFE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Kuzoian, John (Procurement - Student Employee)</cp:lastModifiedBy>
  <cp:revision>2</cp:revision>
  <cp:lastPrinted>2017-05-16T18:31:00Z</cp:lastPrinted>
  <dcterms:created xsi:type="dcterms:W3CDTF">2017-10-03T13:27:00Z</dcterms:created>
  <dcterms:modified xsi:type="dcterms:W3CDTF">2017-10-03T13:27:00Z</dcterms:modified>
</cp:coreProperties>
</file>